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ECB7D"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6F1469D"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112EC476"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EB7107" w:rsidRPr="00737124" w14:paraId="2F726349" w14:textId="77777777" w:rsidTr="00DA502E">
        <w:tc>
          <w:tcPr>
            <w:tcW w:w="4531" w:type="dxa"/>
          </w:tcPr>
          <w:p w14:paraId="4A33AB06" w14:textId="77777777" w:rsidR="00EB7107" w:rsidRPr="00737124" w:rsidRDefault="00EB7107" w:rsidP="00EB7107">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764A8432" w14:textId="77777777" w:rsidR="00EB7107" w:rsidRPr="00D54AD2" w:rsidRDefault="00EB7107" w:rsidP="00EB7107">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75E6B9CA" w14:textId="23BE5CDD" w:rsidR="00EB7107" w:rsidRPr="00CF0F21" w:rsidRDefault="00EB7107" w:rsidP="00EB710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w:t>
            </w:r>
          </w:p>
        </w:tc>
      </w:tr>
      <w:tr w:rsidR="00EB7107" w:rsidRPr="00737124" w14:paraId="431B6178" w14:textId="77777777" w:rsidTr="00DA502E">
        <w:tc>
          <w:tcPr>
            <w:tcW w:w="4531" w:type="dxa"/>
          </w:tcPr>
          <w:p w14:paraId="5257A662" w14:textId="77777777" w:rsidR="00EB7107" w:rsidRPr="00E85062" w:rsidRDefault="00EB7107" w:rsidP="00EB7107">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0796E6A8" w14:textId="5D4F16FF" w:rsidR="00EB7107" w:rsidRPr="0094057D" w:rsidRDefault="00DC57BF" w:rsidP="00EB7107">
            <w:pPr>
              <w:pStyle w:val="Tabulka-buky11"/>
              <w:rPr>
                <w:rFonts w:ascii="Times New Roman" w:hAnsi="Times New Roman"/>
                <w:sz w:val="24"/>
                <w:szCs w:val="22"/>
                <w:lang w:val="cs-CZ"/>
              </w:rPr>
            </w:pPr>
            <w:r>
              <w:rPr>
                <w:rFonts w:ascii="Times New Roman" w:hAnsi="Times New Roman"/>
                <w:sz w:val="24"/>
                <w:szCs w:val="22"/>
                <w:lang w:val="cs-CZ"/>
              </w:rPr>
              <w:t>Boženy Němcové 231, 530 02 Pardubice</w:t>
            </w:r>
          </w:p>
        </w:tc>
      </w:tr>
      <w:tr w:rsidR="00EB7107" w:rsidRPr="00737124" w14:paraId="035370DD" w14:textId="77777777" w:rsidTr="00DA502E">
        <w:tc>
          <w:tcPr>
            <w:tcW w:w="4531" w:type="dxa"/>
          </w:tcPr>
          <w:p w14:paraId="0C771968"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501651F8" w14:textId="356D0E89" w:rsidR="00EB7107" w:rsidRPr="0094057D" w:rsidRDefault="0015186C" w:rsidP="00EB7107">
            <w:pPr>
              <w:pStyle w:val="Tabulka-buky11"/>
              <w:rPr>
                <w:rFonts w:ascii="Times New Roman" w:hAnsi="Times New Roman"/>
                <w:sz w:val="24"/>
                <w:szCs w:val="22"/>
              </w:rPr>
            </w:pPr>
            <w:r w:rsidRPr="000964C2">
              <w:rPr>
                <w:rFonts w:ascii="Times New Roman" w:hAnsi="Times New Roman"/>
                <w:sz w:val="24"/>
                <w:szCs w:val="22"/>
              </w:rPr>
              <w:t>Ing. Miroslavem Kučerou, ředitelem KPÚ pro Pardubický kraj</w:t>
            </w:r>
            <w:r>
              <w:rPr>
                <w:rFonts w:ascii="Times New Roman" w:hAnsi="Times New Roman"/>
                <w:sz w:val="24"/>
                <w:szCs w:val="22"/>
              </w:rPr>
              <w:t xml:space="preserve"> </w:t>
            </w:r>
          </w:p>
        </w:tc>
      </w:tr>
      <w:tr w:rsidR="00EB7107" w:rsidRPr="00737124" w14:paraId="5CB9EF11" w14:textId="77777777" w:rsidTr="00DA502E">
        <w:tc>
          <w:tcPr>
            <w:tcW w:w="4531" w:type="dxa"/>
          </w:tcPr>
          <w:p w14:paraId="331D72A0" w14:textId="77777777" w:rsidR="00EB7107" w:rsidRPr="00D54AD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BC341A4" w14:textId="694E7A53" w:rsidR="00EB7107" w:rsidRPr="00D3334C" w:rsidRDefault="0015186C" w:rsidP="00EB7107">
            <w:pPr>
              <w:pStyle w:val="Tabulka-buky11"/>
              <w:rPr>
                <w:rFonts w:ascii="Times New Roman" w:hAnsi="Times New Roman"/>
                <w:sz w:val="24"/>
                <w:szCs w:val="22"/>
              </w:rPr>
            </w:pPr>
            <w:r w:rsidRPr="000964C2">
              <w:rPr>
                <w:rFonts w:ascii="Times New Roman" w:hAnsi="Times New Roman"/>
                <w:sz w:val="24"/>
                <w:szCs w:val="22"/>
              </w:rPr>
              <w:t>Ing. Miroslav Kučera, ředitel KPÚ pro Pardubický kraj</w:t>
            </w:r>
            <w:r>
              <w:rPr>
                <w:rFonts w:ascii="Times New Roman" w:hAnsi="Times New Roman"/>
                <w:sz w:val="24"/>
                <w:szCs w:val="22"/>
              </w:rPr>
              <w:t xml:space="preserve"> </w:t>
            </w:r>
          </w:p>
        </w:tc>
      </w:tr>
      <w:tr w:rsidR="00EB7107" w:rsidRPr="00737124" w14:paraId="6455ADAE" w14:textId="77777777" w:rsidTr="00DA502E">
        <w:tc>
          <w:tcPr>
            <w:tcW w:w="4531" w:type="dxa"/>
          </w:tcPr>
          <w:p w14:paraId="64154BBF" w14:textId="77777777" w:rsidR="00EB7107" w:rsidRPr="00D54AD2" w:rsidRDefault="00EB7107" w:rsidP="00EB7107">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2007BFCC" w14:textId="11AC69D4" w:rsidR="00EB7107" w:rsidRPr="00D3334C" w:rsidRDefault="00EB7107" w:rsidP="00EB7107">
            <w:pPr>
              <w:pStyle w:val="Tabulka-buky11"/>
              <w:rPr>
                <w:rFonts w:ascii="Times New Roman" w:hAnsi="Times New Roman"/>
                <w:sz w:val="24"/>
                <w:szCs w:val="22"/>
              </w:rPr>
            </w:pPr>
            <w:r>
              <w:rPr>
                <w:rFonts w:ascii="Times New Roman" w:hAnsi="Times New Roman"/>
                <w:sz w:val="24"/>
                <w:szCs w:val="22"/>
              </w:rPr>
              <w:t>Ing. Pavel Friml, Ing. Hana Jeníčková, PhD.</w:t>
            </w:r>
          </w:p>
        </w:tc>
      </w:tr>
      <w:tr w:rsidR="00EB7107" w:rsidRPr="00737124" w14:paraId="13760452" w14:textId="77777777" w:rsidTr="00DA502E">
        <w:tc>
          <w:tcPr>
            <w:tcW w:w="4531" w:type="dxa"/>
          </w:tcPr>
          <w:p w14:paraId="45F4CB5F"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B2AC936" w14:textId="77777777" w:rsidR="00EB7107" w:rsidRPr="00D54AD2" w:rsidRDefault="00EB7107" w:rsidP="00EB7107">
            <w:pPr>
              <w:pStyle w:val="Tabulka-buky11"/>
              <w:rPr>
                <w:rFonts w:ascii="Times New Roman" w:hAnsi="Times New Roman"/>
                <w:sz w:val="24"/>
                <w:szCs w:val="22"/>
              </w:rPr>
            </w:pPr>
            <w:r>
              <w:rPr>
                <w:rFonts w:ascii="Times New Roman" w:hAnsi="Times New Roman"/>
                <w:sz w:val="24"/>
                <w:szCs w:val="22"/>
              </w:rPr>
              <w:t>Ústí nad Orlicí, Tvardkova 1191</w:t>
            </w:r>
          </w:p>
        </w:tc>
      </w:tr>
      <w:tr w:rsidR="00EB7107" w:rsidRPr="00737124" w14:paraId="609B6965" w14:textId="77777777" w:rsidTr="00DA502E">
        <w:tc>
          <w:tcPr>
            <w:tcW w:w="4531" w:type="dxa"/>
          </w:tcPr>
          <w:p w14:paraId="31908040"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F94F583" w14:textId="4072012E" w:rsidR="00EB7107" w:rsidRPr="00D54AD2" w:rsidRDefault="00EB7107" w:rsidP="00EB7107">
            <w:pPr>
              <w:pStyle w:val="Tabulka-buky11"/>
              <w:rPr>
                <w:rFonts w:ascii="Times New Roman" w:hAnsi="Times New Roman"/>
                <w:sz w:val="24"/>
                <w:szCs w:val="22"/>
              </w:rPr>
            </w:pPr>
            <w:r>
              <w:rPr>
                <w:rFonts w:ascii="Times New Roman" w:hAnsi="Times New Roman"/>
                <w:sz w:val="24"/>
                <w:szCs w:val="22"/>
              </w:rPr>
              <w:t>602 311 512, 601 584 039</w:t>
            </w:r>
          </w:p>
        </w:tc>
      </w:tr>
      <w:tr w:rsidR="00EB7107" w:rsidRPr="00737124" w14:paraId="235F063F" w14:textId="77777777" w:rsidTr="00DA502E">
        <w:tc>
          <w:tcPr>
            <w:tcW w:w="4531" w:type="dxa"/>
          </w:tcPr>
          <w:p w14:paraId="45273A7B"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CFB6504" w14:textId="1E4A768B" w:rsidR="00EB7107" w:rsidRPr="00D54AD2" w:rsidRDefault="00EB7107" w:rsidP="00EB7107">
            <w:pPr>
              <w:pStyle w:val="Tabulka-buky11"/>
              <w:rPr>
                <w:rFonts w:ascii="Times New Roman" w:hAnsi="Times New Roman"/>
                <w:sz w:val="24"/>
                <w:szCs w:val="22"/>
              </w:rPr>
            </w:pPr>
            <w:r>
              <w:rPr>
                <w:rFonts w:ascii="Times New Roman" w:hAnsi="Times New Roman"/>
                <w:sz w:val="24"/>
                <w:szCs w:val="22"/>
              </w:rPr>
              <w:t>p</w:t>
            </w:r>
            <w:hyperlink r:id="rId8" w:history="1">
              <w:r w:rsidRPr="00B80986">
                <w:rPr>
                  <w:rStyle w:val="Hypertextovodkaz"/>
                  <w:rFonts w:ascii="Times New Roman" w:hAnsi="Times New Roman"/>
                  <w:sz w:val="24"/>
                  <w:szCs w:val="22"/>
                </w:rPr>
                <w:t>.friml@spucr.cz</w:t>
              </w:r>
            </w:hyperlink>
            <w:r>
              <w:rPr>
                <w:rFonts w:ascii="Times New Roman" w:hAnsi="Times New Roman"/>
                <w:sz w:val="24"/>
                <w:szCs w:val="22"/>
              </w:rPr>
              <w:t xml:space="preserve">, </w:t>
            </w:r>
            <w:r w:rsidRPr="00763EA2">
              <w:rPr>
                <w:rFonts w:ascii="Times New Roman" w:hAnsi="Times New Roman"/>
                <w:sz w:val="24"/>
                <w:szCs w:val="22"/>
              </w:rPr>
              <w:t>ustino.pk@spucr.cz</w:t>
            </w:r>
          </w:p>
        </w:tc>
      </w:tr>
      <w:tr w:rsidR="00EB7107" w:rsidRPr="00737124" w14:paraId="1EAAE7C2" w14:textId="77777777" w:rsidTr="00DA502E">
        <w:tc>
          <w:tcPr>
            <w:tcW w:w="4531" w:type="dxa"/>
          </w:tcPr>
          <w:p w14:paraId="0F7F76C8" w14:textId="77777777" w:rsidR="00EB7107" w:rsidRPr="00E85062" w:rsidRDefault="00EB7107" w:rsidP="00EB7107">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7FC8C9B" w14:textId="77777777" w:rsidR="00EB7107" w:rsidRPr="00D54AD2" w:rsidRDefault="00EB7107" w:rsidP="00EB7107">
            <w:pPr>
              <w:pStyle w:val="Tabulka-buky11"/>
              <w:rPr>
                <w:rFonts w:ascii="Times New Roman" w:hAnsi="Times New Roman"/>
                <w:sz w:val="24"/>
                <w:szCs w:val="22"/>
              </w:rPr>
            </w:pPr>
            <w:r w:rsidRPr="00D54AD2">
              <w:rPr>
                <w:rFonts w:ascii="Times New Roman" w:hAnsi="Times New Roman"/>
                <w:sz w:val="24"/>
                <w:szCs w:val="22"/>
              </w:rPr>
              <w:t>z49per3</w:t>
            </w:r>
          </w:p>
        </w:tc>
      </w:tr>
      <w:tr w:rsidR="00EB7107" w:rsidRPr="00737124" w14:paraId="411085A2" w14:textId="77777777" w:rsidTr="00DA502E">
        <w:tblPrEx>
          <w:tblLook w:val="04A0" w:firstRow="1" w:lastRow="0" w:firstColumn="1" w:lastColumn="0" w:noHBand="0" w:noVBand="1"/>
        </w:tblPrEx>
        <w:tc>
          <w:tcPr>
            <w:tcW w:w="4531" w:type="dxa"/>
          </w:tcPr>
          <w:p w14:paraId="1D89C1F7"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8E2D4F5" w14:textId="77777777" w:rsidR="00EB7107" w:rsidRPr="00D54AD2" w:rsidRDefault="00EB7107" w:rsidP="00EB7107">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EB7107" w:rsidRPr="00737124" w14:paraId="404D4AA8" w14:textId="77777777" w:rsidTr="00DA502E">
        <w:tblPrEx>
          <w:tblLook w:val="04A0" w:firstRow="1" w:lastRow="0" w:firstColumn="1" w:lastColumn="0" w:noHBand="0" w:noVBand="1"/>
        </w:tblPrEx>
        <w:tc>
          <w:tcPr>
            <w:tcW w:w="4531" w:type="dxa"/>
          </w:tcPr>
          <w:p w14:paraId="31E36E65"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7D0EEAA9" w14:textId="77777777" w:rsidR="00EB7107" w:rsidRPr="00D54AD2" w:rsidRDefault="00EB7107" w:rsidP="00EB7107">
            <w:pPr>
              <w:pStyle w:val="Tabulka-buky11"/>
              <w:rPr>
                <w:rFonts w:ascii="Times New Roman" w:hAnsi="Times New Roman"/>
                <w:sz w:val="24"/>
                <w:szCs w:val="22"/>
              </w:rPr>
            </w:pPr>
            <w:r w:rsidRPr="00D54AD2">
              <w:rPr>
                <w:rFonts w:ascii="Times New Roman" w:hAnsi="Times New Roman"/>
                <w:sz w:val="24"/>
                <w:szCs w:val="22"/>
              </w:rPr>
              <w:t>3723001/0710</w:t>
            </w:r>
          </w:p>
        </w:tc>
      </w:tr>
      <w:tr w:rsidR="00EB7107" w:rsidRPr="00737124" w14:paraId="486B1BE0" w14:textId="77777777" w:rsidTr="00DA502E">
        <w:tc>
          <w:tcPr>
            <w:tcW w:w="4531" w:type="dxa"/>
          </w:tcPr>
          <w:p w14:paraId="7035F335"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0C032D6" w14:textId="77777777" w:rsidR="00EB7107" w:rsidRPr="00D54AD2" w:rsidRDefault="00EB7107" w:rsidP="00EB7107">
            <w:pPr>
              <w:pStyle w:val="Tabulka-buky11"/>
              <w:rPr>
                <w:rFonts w:ascii="Times New Roman" w:hAnsi="Times New Roman"/>
                <w:sz w:val="24"/>
                <w:szCs w:val="22"/>
              </w:rPr>
            </w:pPr>
            <w:r w:rsidRPr="00D54AD2">
              <w:rPr>
                <w:rFonts w:ascii="Times New Roman" w:hAnsi="Times New Roman"/>
                <w:sz w:val="24"/>
                <w:szCs w:val="22"/>
              </w:rPr>
              <w:t>01312774</w:t>
            </w:r>
          </w:p>
        </w:tc>
      </w:tr>
      <w:tr w:rsidR="00EB7107" w:rsidRPr="00737124" w14:paraId="43FA608B" w14:textId="77777777" w:rsidTr="00DA502E">
        <w:tc>
          <w:tcPr>
            <w:tcW w:w="4531" w:type="dxa"/>
          </w:tcPr>
          <w:p w14:paraId="50193BF0" w14:textId="77777777" w:rsidR="00EB7107" w:rsidRPr="00E85062" w:rsidRDefault="00EB7107" w:rsidP="00EB7107">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31D3EAD" w14:textId="77777777" w:rsidR="00EB7107" w:rsidRPr="00D54AD2" w:rsidRDefault="00EB7107" w:rsidP="00EB7107">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77568B56"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F0C6AEA" w14:textId="77777777" w:rsidTr="00DA502E">
        <w:tc>
          <w:tcPr>
            <w:tcW w:w="4531" w:type="dxa"/>
          </w:tcPr>
          <w:p w14:paraId="4E2C5016"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150940EC"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39E7733" w14:textId="77777777" w:rsidTr="00DA502E">
        <w:tc>
          <w:tcPr>
            <w:tcW w:w="4531" w:type="dxa"/>
          </w:tcPr>
          <w:p w14:paraId="3A6E49EE"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34170EC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7E40B3D" w14:textId="77777777" w:rsidTr="00DA502E">
        <w:tc>
          <w:tcPr>
            <w:tcW w:w="4531" w:type="dxa"/>
          </w:tcPr>
          <w:p w14:paraId="214FE55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11E710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BECB1D9" w14:textId="77777777" w:rsidTr="00DA502E">
        <w:tc>
          <w:tcPr>
            <w:tcW w:w="4531" w:type="dxa"/>
          </w:tcPr>
          <w:p w14:paraId="6290053D"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4A25EC7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C65EDB6" w14:textId="77777777" w:rsidTr="00DA502E">
        <w:tc>
          <w:tcPr>
            <w:tcW w:w="4531" w:type="dxa"/>
          </w:tcPr>
          <w:p w14:paraId="326FA2E8"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FC9664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4FE7F0E" w14:textId="77777777" w:rsidTr="00DA502E">
        <w:tc>
          <w:tcPr>
            <w:tcW w:w="4531" w:type="dxa"/>
          </w:tcPr>
          <w:p w14:paraId="1D5D4E3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8F3C0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616AC9F" w14:textId="77777777" w:rsidTr="00DA502E">
        <w:tc>
          <w:tcPr>
            <w:tcW w:w="4531" w:type="dxa"/>
          </w:tcPr>
          <w:p w14:paraId="425D23D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A359EB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805EA16" w14:textId="77777777" w:rsidTr="00DA502E">
        <w:tc>
          <w:tcPr>
            <w:tcW w:w="4531" w:type="dxa"/>
          </w:tcPr>
          <w:p w14:paraId="6EE916F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7F220AD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C8C36F7" w14:textId="77777777" w:rsidTr="00DA502E">
        <w:tc>
          <w:tcPr>
            <w:tcW w:w="4531" w:type="dxa"/>
          </w:tcPr>
          <w:p w14:paraId="75F2391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8840A4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7715DAE" w14:textId="77777777" w:rsidTr="00DA502E">
        <w:tc>
          <w:tcPr>
            <w:tcW w:w="4531" w:type="dxa"/>
          </w:tcPr>
          <w:p w14:paraId="1A25796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2AAF057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474FF07" w14:textId="77777777" w:rsidTr="00DA502E">
        <w:tc>
          <w:tcPr>
            <w:tcW w:w="4531" w:type="dxa"/>
          </w:tcPr>
          <w:p w14:paraId="73239F9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8AD893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7BB0341" w14:textId="77777777" w:rsidTr="00DA502E">
        <w:tc>
          <w:tcPr>
            <w:tcW w:w="4531" w:type="dxa"/>
          </w:tcPr>
          <w:p w14:paraId="4768B4C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6EB9B8C"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4D2E1E4C" w14:textId="77777777" w:rsidTr="00DA502E">
        <w:tc>
          <w:tcPr>
            <w:tcW w:w="4531" w:type="dxa"/>
          </w:tcPr>
          <w:p w14:paraId="0C78B3B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0D92A0C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C00F1EB" w14:textId="77777777" w:rsidTr="00DA502E">
        <w:tc>
          <w:tcPr>
            <w:tcW w:w="4531" w:type="dxa"/>
          </w:tcPr>
          <w:p w14:paraId="7D4D320E"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15864B3C" w14:textId="77777777" w:rsidR="00354192" w:rsidRPr="0094057D" w:rsidRDefault="00354192" w:rsidP="00DA502E">
            <w:pPr>
              <w:pStyle w:val="Tabulka-buky11"/>
              <w:rPr>
                <w:rFonts w:ascii="Times New Roman" w:hAnsi="Times New Roman"/>
                <w:sz w:val="24"/>
                <w:szCs w:val="22"/>
                <w:lang w:val="cs-CZ"/>
              </w:rPr>
            </w:pPr>
          </w:p>
        </w:tc>
      </w:tr>
    </w:tbl>
    <w:p w14:paraId="2B4DBC42"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03BFB6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829816D" w14:textId="77777777" w:rsidR="00187D94" w:rsidRPr="006F3D14" w:rsidRDefault="00187D94" w:rsidP="00F911B6">
      <w:pPr>
        <w:spacing w:after="0"/>
        <w:rPr>
          <w:rFonts w:ascii="Times New Roman" w:hAnsi="Times New Roman" w:cs="Times New Roman"/>
          <w:sz w:val="24"/>
          <w:lang w:val="cs-CZ"/>
        </w:rPr>
      </w:pPr>
    </w:p>
    <w:p w14:paraId="6B5723F6" w14:textId="72C9E1E2"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090B8DD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1B4CC26D" w14:textId="33ABA66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B80986">
        <w:rPr>
          <w:rStyle w:val="Siln"/>
          <w:rFonts w:ascii="Times New Roman" w:hAnsi="Times New Roman" w:cs="Times New Roman"/>
          <w:szCs w:val="20"/>
        </w:rPr>
        <w:t>Nepomuky</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6ACBA337" w14:textId="5B1BFAD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B80986">
        <w:rPr>
          <w:rFonts w:ascii="Times New Roman" w:hAnsi="Times New Roman" w:cs="Times New Roman"/>
          <w:szCs w:val="20"/>
        </w:rPr>
        <w:t>Nepomuky</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21416A18" w14:textId="5B72C4C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658FF0F6"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E1BE9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FE64966"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709AB0A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C40530">
        <w:rPr>
          <w:rFonts w:ascii="Times New Roman" w:hAnsi="Times New Roman" w:cs="Times New Roman"/>
          <w:szCs w:val="20"/>
          <w:highlight w:val="yellow"/>
          <w:lang w:val="cs-CZ"/>
        </w:rPr>
        <w:t>……</w:t>
      </w:r>
      <w:r w:rsidRPr="00C40530">
        <w:rPr>
          <w:rFonts w:ascii="Times New Roman" w:hAnsi="Times New Roman" w:cs="Times New Roman"/>
          <w:szCs w:val="20"/>
          <w:highlight w:val="yellow"/>
        </w:rPr>
        <w:t>..</w:t>
      </w:r>
    </w:p>
    <w:p w14:paraId="79781EB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03FD5F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BFFF2B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25103B97"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w:t>
      </w:r>
      <w:r w:rsidRPr="004F5C66">
        <w:rPr>
          <w:rFonts w:ascii="Times New Roman" w:hAnsi="Times New Roman" w:cs="Times New Roman"/>
          <w:lang w:val="cs-CZ"/>
        </w:rPr>
        <w:lastRenderedPageBreak/>
        <w:t xml:space="preserve">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ACADE4D"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53BF36FE"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69AD9466"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4322FCFF"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050AAB7"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21B1ED6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41EE11E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531208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28B8FC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5BB8122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F9E0D8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1620AABE"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7E42EE9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68C7560A" w14:textId="41C9EF2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152E9A">
        <w:rPr>
          <w:rFonts w:ascii="Times New Roman" w:hAnsi="Times New Roman" w:cs="Times New Roman"/>
          <w:lang w:val="cs-CZ"/>
        </w:rPr>
        <w:t>1</w:t>
      </w:r>
      <w:r w:rsidR="00152E9A" w:rsidRPr="004F5C66">
        <w:rPr>
          <w:rFonts w:ascii="Times New Roman" w:hAnsi="Times New Roman" w:cs="Times New Roman"/>
          <w:lang w:val="cs-CZ"/>
        </w:rPr>
        <w:t xml:space="preserve"> </w:t>
      </w:r>
      <w:r w:rsidRPr="004F5C66">
        <w:rPr>
          <w:rFonts w:ascii="Times New Roman" w:hAnsi="Times New Roman" w:cs="Times New Roman"/>
          <w:lang w:val="cs-CZ"/>
        </w:rPr>
        <w:t>měsíc</w:t>
      </w:r>
      <w:r w:rsidR="00152E9A">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w:t>
      </w:r>
      <w:r w:rsidRPr="004F5C66">
        <w:rPr>
          <w:rFonts w:ascii="Times New Roman" w:hAnsi="Times New Roman" w:cs="Times New Roman"/>
          <w:lang w:val="cs-CZ"/>
        </w:rPr>
        <w:lastRenderedPageBreak/>
        <w:t>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423CB95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2E9F142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27D5C67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Pozvánky na zjišťování hranic rozešle dotčeným vlastníkům objednatel na základě </w:t>
      </w:r>
      <w:r w:rsidRPr="004F5C66">
        <w:rPr>
          <w:rFonts w:ascii="Times New Roman" w:hAnsi="Times New Roman" w:cs="Times New Roman"/>
          <w:lang w:val="cs-CZ"/>
        </w:rPr>
        <w:t>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4C59EA4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307D2DB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D5068E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20D4429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A0ADC2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DAC29A4" w14:textId="735E6F4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30C66D3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4759B63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w:t>
      </w:r>
      <w:r w:rsidRPr="004F5C66">
        <w:rPr>
          <w:rFonts w:ascii="Times New Roman" w:hAnsi="Times New Roman" w:cs="Times New Roman"/>
          <w:lang w:val="cs-CZ"/>
        </w:rPr>
        <w:t>erozního ohrožení - současný stav.</w:t>
      </w:r>
    </w:p>
    <w:p w14:paraId="57B156B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4959984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D33D328"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18386692"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46C3BBFE" w14:textId="4E43D71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5E0FC7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1E6B3D5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31D0D1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Pokud bude vlastník požadovat ocenění dřevin rostoucích mimo les (§ 12 vyhlášky), zajistí zhotovitel toto ocenění do předmětných nárokových listů.</w:t>
      </w:r>
    </w:p>
    <w:p w14:paraId="5C8D21E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2D5B3566"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1F1C5BA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DF4E81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57788CB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46BAA0C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00B6751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2B5DC4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45D1489F"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08DBC84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29E9DA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A12544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36F39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32BC79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195B11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6B8B8FE"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79DD41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3CDE852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3FA7A46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D5ADED5"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42235BE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618AAF65"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077B226"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2AFA2A5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5A36C02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017606F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7F4E13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787074A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0D395F6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D0D3A4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2F824D9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E6E3D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8BF3DA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7BAC9F8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287208C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39C71C8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269EFC6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3C46CC1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30FACA7"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0B5F3B8B"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F7BF1CD"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30F8400C"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3EBDDD3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14DC13B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w:t>
      </w:r>
      <w:r w:rsidRPr="006F3D14">
        <w:rPr>
          <w:rFonts w:ascii="Times New Roman" w:hAnsi="Times New Roman" w:cs="Times New Roman"/>
          <w:szCs w:val="20"/>
          <w:lang w:val="cs-CZ"/>
        </w:rPr>
        <w:lastRenderedPageBreak/>
        <w:t xml:space="preserve">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59ED4F0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7FFDFA43"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4D76CF0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61F2298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222FC090"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1CFB27B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6A2F2AF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2E9001E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65A5A8E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1F4E53C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1AF1D92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B24ACC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904E83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C4D805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344154D6"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4960574E"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00222B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Základní podmínky předání a převzetí díla</w:t>
      </w:r>
    </w:p>
    <w:p w14:paraId="3CFA254A"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63754FD0" w14:textId="40E457BF"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407FB7">
        <w:rPr>
          <w:rFonts w:ascii="Times New Roman" w:hAnsi="Times New Roman" w:cs="Times New Roman"/>
          <w:szCs w:val="20"/>
          <w:lang w:val="cs-CZ"/>
        </w:rPr>
        <w:t>Ústí nad Orlicí</w:t>
      </w:r>
      <w:r w:rsidR="00407FB7"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407FB7">
        <w:rPr>
          <w:rFonts w:ascii="Times New Roman" w:hAnsi="Times New Roman" w:cs="Times New Roman"/>
          <w:szCs w:val="20"/>
          <w:lang w:val="cs-CZ"/>
        </w:rPr>
        <w:t xml:space="preserve">Tvardkova 1191, </w:t>
      </w:r>
      <w:r w:rsidR="00407FB7">
        <w:rPr>
          <w:rFonts w:ascii="Times New Roman" w:hAnsi="Times New Roman" w:cs="Times New Roman"/>
          <w:szCs w:val="20"/>
        </w:rPr>
        <w:t>56201 Ústí nad Orlicí</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2683C6CA"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86E0043"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F0CCBC1"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8F1748B"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7210D2A2"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A6D7E66"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2596D81D"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26ED87D6"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0180D22C"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460B82A7"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2A02200"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14453D6F"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3F528039"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5B0DEDB0"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406450C1"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637AD174"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79C24B12"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DC6DC03"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40F33D4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E828CA2"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0159F367"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72DB7402"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7FE566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2345A58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200901C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EC0C67"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7A4958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58C1C1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4972AA8"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64C3B50"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9953FF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B1E88C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712B4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D19B59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2DC3E16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EAA7A1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138ACE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9474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FBFA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D96EA6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F0DF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D6841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2C1594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1AC6A0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6BA5B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7E8A3BDF"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827E6CE"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4DCE2C0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97ADA8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791F82A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48E33CD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0A2FD8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17E4AE3C"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3AFD023F" w14:textId="77777777" w:rsidR="00407FB7" w:rsidRPr="007F5149" w:rsidRDefault="00354192" w:rsidP="00407FB7">
      <w:pPr>
        <w:pStyle w:val="Odstavecseseznamem"/>
        <w:ind w:left="709" w:hanging="709"/>
        <w:rPr>
          <w:rFonts w:ascii="Times New Roman" w:hAnsi="Times New Roman" w:cs="Times New Roman"/>
          <w:szCs w:val="20"/>
        </w:rPr>
      </w:pPr>
      <w:r w:rsidRPr="00407FB7">
        <w:rPr>
          <w:rFonts w:ascii="Times New Roman" w:hAnsi="Times New Roman" w:cs="Times New Roman"/>
          <w:szCs w:val="20"/>
          <w:lang w:val="cs-CZ"/>
        </w:rPr>
        <w:t>Faktura</w:t>
      </w:r>
      <w:r w:rsidRPr="00407FB7">
        <w:rPr>
          <w:rFonts w:ascii="Times New Roman" w:hAnsi="Times New Roman" w:cs="Times New Roman"/>
          <w:szCs w:val="20"/>
        </w:rPr>
        <w:t>ční adresa: Státní pozemkový úřad, Husinecká 1024/11a, 130 00 Praha 3 – Žižkov, IČO: 01312774.</w:t>
      </w:r>
      <w:r w:rsidR="000669FB" w:rsidRPr="00407FB7">
        <w:rPr>
          <w:rFonts w:ascii="Times New Roman" w:hAnsi="Times New Roman" w:cs="Times New Roman"/>
          <w:szCs w:val="20"/>
        </w:rPr>
        <w:t xml:space="preserve"> Faktury budou zasílány na adresu: </w:t>
      </w:r>
      <w:r w:rsidR="00407FB7" w:rsidRPr="00407FB7">
        <w:rPr>
          <w:rFonts w:ascii="Times New Roman" w:hAnsi="Times New Roman" w:cs="Times New Roman"/>
          <w:szCs w:val="20"/>
        </w:rPr>
        <w:t>Státní pozemkový úřad, Pobočka Ústí nad Orlicí, Tvardkova 1191, 562 01 Ústí nad Orlicí.</w:t>
      </w:r>
    </w:p>
    <w:p w14:paraId="5B63B979" w14:textId="77777777" w:rsidR="00354192" w:rsidRPr="00407FB7" w:rsidRDefault="00354192" w:rsidP="00FF77FB">
      <w:pPr>
        <w:pStyle w:val="Odstavecseseznamem"/>
        <w:ind w:left="709" w:hanging="709"/>
        <w:rPr>
          <w:rFonts w:ascii="Times New Roman" w:hAnsi="Times New Roman" w:cs="Times New Roman"/>
          <w:szCs w:val="20"/>
          <w:lang w:val="cs-CZ"/>
        </w:rPr>
      </w:pPr>
      <w:r w:rsidRPr="00407FB7">
        <w:rPr>
          <w:rFonts w:ascii="Times New Roman" w:hAnsi="Times New Roman" w:cs="Times New Roman"/>
          <w:szCs w:val="20"/>
        </w:rPr>
        <w:t>Fakturace</w:t>
      </w:r>
      <w:r w:rsidRPr="00407FB7">
        <w:rPr>
          <w:rFonts w:ascii="Times New Roman" w:hAnsi="Times New Roman" w:cs="Times New Roman"/>
          <w:szCs w:val="20"/>
          <w:lang w:val="cs-CZ"/>
        </w:rPr>
        <w:t xml:space="preserve"> bude prováděna po dokončení jednotlivých dílčích částí, na základě schvalovacího protokolu</w:t>
      </w:r>
      <w:r w:rsidR="0055670A" w:rsidRPr="00407FB7">
        <w:rPr>
          <w:rFonts w:ascii="Times New Roman" w:hAnsi="Times New Roman" w:cs="Times New Roman"/>
          <w:szCs w:val="20"/>
          <w:lang w:val="cs-CZ"/>
        </w:rPr>
        <w:t xml:space="preserve"> </w:t>
      </w:r>
      <w:r w:rsidRPr="00407FB7">
        <w:rPr>
          <w:rFonts w:ascii="Times New Roman" w:hAnsi="Times New Roman" w:cs="Times New Roman"/>
          <w:szCs w:val="20"/>
          <w:lang w:val="cs-CZ"/>
        </w:rPr>
        <w:t xml:space="preserve">o předání a převzetí prací </w:t>
      </w:r>
      <w:r w:rsidRPr="00407FB7">
        <w:rPr>
          <w:rFonts w:ascii="Times New Roman" w:hAnsi="Times New Roman" w:cs="Times New Roman"/>
          <w:szCs w:val="20"/>
          <w:lang w:val="cs-CZ"/>
        </w:rPr>
        <w:t>bez vad a nedodělků</w:t>
      </w:r>
      <w:r w:rsidR="0055670A" w:rsidRPr="00407FB7">
        <w:rPr>
          <w:rFonts w:ascii="Times New Roman" w:hAnsi="Times New Roman" w:cs="Times New Roman"/>
          <w:szCs w:val="20"/>
          <w:lang w:val="cs-CZ"/>
        </w:rPr>
        <w:t>,  vystaveného objednatelem</w:t>
      </w:r>
      <w:r w:rsidRPr="00407FB7">
        <w:rPr>
          <w:rFonts w:ascii="Times New Roman" w:hAnsi="Times New Roman" w:cs="Times New Roman"/>
          <w:szCs w:val="20"/>
          <w:lang w:val="cs-CZ"/>
        </w:rPr>
        <w:t xml:space="preserve">. Bez tohoto potvrzeného protokolu nesmí být faktura vystavena. V případě, že se bude jednat </w:t>
      </w:r>
      <w:r w:rsidRPr="00407FB7">
        <w:rPr>
          <w:rFonts w:ascii="Times New Roman" w:hAnsi="Times New Roman" w:cs="Times New Roman"/>
          <w:szCs w:val="20"/>
        </w:rPr>
        <w:t xml:space="preserve">o </w:t>
      </w:r>
      <w:r w:rsidRPr="00407FB7">
        <w:rPr>
          <w:rFonts w:ascii="Times New Roman" w:hAnsi="Times New Roman" w:cs="Times New Roman"/>
          <w:szCs w:val="20"/>
          <w:lang w:val="cs-CZ"/>
        </w:rPr>
        <w:lastRenderedPageBreak/>
        <w:t>dokumentaci předávanou katastrálnímu úřadu, bude součástí protokolu potvrzení katastrálního úřadu o převzetí dokumentace tímto orgánem bez vad a nedodělků.</w:t>
      </w:r>
    </w:p>
    <w:p w14:paraId="1BCF38F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7C925A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AB78F2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6EFAB5D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231EAC4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6AC4226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168472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87F2B9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61B81A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6ECCFE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9407145"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48464B64"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BC727A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249E45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57CA15A1" w14:textId="79DA98B5"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407FB7" w:rsidRPr="0076450D">
        <w:rPr>
          <w:rFonts w:ascii="Times New Roman" w:hAnsi="Times New Roman" w:cs="Times New Roman"/>
          <w:szCs w:val="20"/>
          <w:highlight w:val="yellow"/>
          <w:lang w:val="cs-CZ"/>
        </w:rPr>
        <w:t>............</w:t>
      </w:r>
      <w:r w:rsidR="00407FB7">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od předání </w:t>
      </w:r>
      <w:r w:rsidRPr="006F3D14">
        <w:rPr>
          <w:rFonts w:ascii="Times New Roman" w:hAnsi="Times New Roman" w:cs="Times New Roman"/>
          <w:szCs w:val="20"/>
          <w:lang w:val="cs-CZ"/>
        </w:rPr>
        <w:t xml:space="preserve">celého díla zhotovitelem objednateli. V případě přerušení prací ze strany </w:t>
      </w:r>
      <w:r w:rsidRPr="006F3D14">
        <w:rPr>
          <w:rFonts w:ascii="Times New Roman" w:hAnsi="Times New Roman" w:cs="Times New Roman"/>
          <w:szCs w:val="20"/>
          <w:lang w:val="cs-CZ"/>
        </w:rPr>
        <w:lastRenderedPageBreak/>
        <w:t>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EAC9F8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F70AFF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611AAFD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57D92F5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1F9DAB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948B4F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65522A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C4230C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3257193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w:t>
      </w:r>
      <w:r w:rsidRPr="006F3D14">
        <w:rPr>
          <w:rFonts w:ascii="Times New Roman" w:hAnsi="Times New Roman" w:cs="Times New Roman"/>
          <w:szCs w:val="20"/>
          <w:lang w:val="cs-CZ"/>
        </w:rPr>
        <w:lastRenderedPageBreak/>
        <w:t>objednatel oprávněn odstoupit od smlouvy (§ 2593 NOZ). Vznikne-li z těchto důvodů objednateli škoda, je zhotovitel povinen průkazně vyčíslenou škodu uhradit.</w:t>
      </w:r>
    </w:p>
    <w:p w14:paraId="5270212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2B5003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4D6A53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98CD0E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4A37D270"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5A90F152"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586C071"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D9166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E245F3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465918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78CCC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F7DBB2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582E27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93630AA"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0EF5D04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743606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3ED5FC8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324587D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079BAF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90690D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BEF4C4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64E97F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5028937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3FAEAA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AD881A1"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4EF1D21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E154C3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w:t>
      </w:r>
      <w:r w:rsidRPr="006F3D14">
        <w:rPr>
          <w:rFonts w:ascii="Times New Roman" w:hAnsi="Times New Roman" w:cs="Times New Roman"/>
          <w:szCs w:val="20"/>
          <w:lang w:val="cs-CZ"/>
        </w:rPr>
        <w:lastRenderedPageBreak/>
        <w:t>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21AAD7C"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47E220C" w14:textId="74E1BC19"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w:t>
      </w:r>
      <w:r w:rsidRPr="006F3D14">
        <w:rPr>
          <w:rFonts w:ascii="Times New Roman" w:hAnsi="Times New Roman" w:cs="Times New Roman"/>
          <w:szCs w:val="20"/>
        </w:rPr>
        <w:t xml:space="preserve">zaplacení smluvní pokuty. Výše smluvní pokuty je stanovena na </w:t>
      </w:r>
      <w:r w:rsidR="00B80986">
        <w:rPr>
          <w:rFonts w:ascii="Times New Roman" w:hAnsi="Times New Roman" w:cs="Times New Roman"/>
          <w:szCs w:val="20"/>
        </w:rPr>
        <w:t>1</w:t>
      </w:r>
      <w:r w:rsidR="007F5149">
        <w:rPr>
          <w:rFonts w:ascii="Times New Roman" w:hAnsi="Times New Roman" w:cs="Times New Roman"/>
          <w:szCs w:val="20"/>
        </w:rPr>
        <w:t>00 000</w:t>
      </w:r>
      <w:r w:rsidR="007F5149"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B80986">
        <w:rPr>
          <w:rFonts w:ascii="Times New Roman" w:hAnsi="Times New Roman" w:cs="Times New Roman"/>
          <w:szCs w:val="20"/>
        </w:rPr>
        <w:t>jednosto</w:t>
      </w:r>
      <w:r w:rsidR="007F5149">
        <w:rPr>
          <w:rFonts w:ascii="Times New Roman" w:hAnsi="Times New Roman" w:cs="Times New Roman"/>
          <w:szCs w:val="20"/>
        </w:rPr>
        <w:t xml:space="preserve">tisíc </w:t>
      </w:r>
      <w:r w:rsidRPr="006F3D14">
        <w:rPr>
          <w:rFonts w:ascii="Times New Roman" w:hAnsi="Times New Roman" w:cs="Times New Roman"/>
          <w:szCs w:val="20"/>
        </w:rPr>
        <w:t xml:space="preserve">korun českých) za každý jednotlivý prokázaný případ porušení povinnosti. Smluvní </w:t>
      </w:r>
      <w:r w:rsidRPr="006F3D14">
        <w:rPr>
          <w:rFonts w:ascii="Times New Roman" w:hAnsi="Times New Roman" w:cs="Times New Roman"/>
          <w:szCs w:val="20"/>
        </w:rPr>
        <w:t>pokuta je splatná do 15 kalendářních dnů ode dne obdržení vyúčtování smluvní pokuty objednatelem. Zaplacením smluvní pokuty není dotčen nárok objednatele na náhradu škody.</w:t>
      </w:r>
    </w:p>
    <w:p w14:paraId="05ED027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7083C95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ACF3CF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B61774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752928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6FF897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449DE9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0EE305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3CC0298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306104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AB9E1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74DD46A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7EB59A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t.j. </w:t>
      </w:r>
      <w:r w:rsidRPr="0076450D">
        <w:rPr>
          <w:rFonts w:ascii="Times New Roman" w:hAnsi="Times New Roman" w:cs="Times New Roman"/>
          <w:szCs w:val="20"/>
          <w:highlight w:val="yellow"/>
        </w:rPr>
        <w:t>......</w:t>
      </w:r>
      <w:r w:rsidRPr="006F3D14">
        <w:rPr>
          <w:rFonts w:ascii="Times New Roman" w:hAnsi="Times New Roman" w:cs="Times New Roman"/>
          <w:szCs w:val="20"/>
        </w:rPr>
        <w:t xml:space="preserve">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ADAC99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675482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C5CE7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325B32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856D87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76450D">
        <w:rPr>
          <w:rFonts w:ascii="Times New Roman" w:hAnsi="Times New Roman" w:cs="Times New Roman"/>
          <w:szCs w:val="20"/>
          <w:highlight w:val="yellow"/>
        </w:rPr>
        <w:t xml:space="preserve">bude / nebude </w:t>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6BB9D15"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26860386"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7E41FDCC"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w:t>
      </w:r>
      <w:r w:rsidRPr="006F3D14">
        <w:rPr>
          <w:rFonts w:ascii="Times New Roman" w:eastAsia="Calibri" w:hAnsi="Times New Roman" w:cs="Times New Roman"/>
          <w:szCs w:val="20"/>
          <w:lang w:val="x-none" w:eastAsia="en-US"/>
        </w:rPr>
        <w:lastRenderedPageBreak/>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44B27E4F"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EA478A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56B4DA2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3231629" w14:textId="0C44FCD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241621F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w:t>
      </w:r>
      <w:r w:rsidRPr="006F3D14">
        <w:rPr>
          <w:rFonts w:ascii="Times New Roman" w:hAnsi="Times New Roman" w:cs="Times New Roman"/>
          <w:szCs w:val="20"/>
          <w:lang w:val="cs-CZ"/>
        </w:rPr>
        <w:t>může být měněna pouze na základě písemných číslovaných dodatků podepsaných oběma smluvními stranami.</w:t>
      </w:r>
    </w:p>
    <w:p w14:paraId="002229B3"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39A65C2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3E29C00C"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62B974F5"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7FC8CAB8"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5515EE60"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4566CAB1"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137ABEC5"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6B153D69" w14:textId="77777777" w:rsidTr="00DA502E">
        <w:trPr>
          <w:trHeight w:val="1020"/>
        </w:trPr>
        <w:tc>
          <w:tcPr>
            <w:tcW w:w="4531" w:type="dxa"/>
          </w:tcPr>
          <w:p w14:paraId="66F55691" w14:textId="6E81E449"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 xml:space="preserve">V </w:t>
            </w:r>
            <w:r w:rsidR="00B3701D">
              <w:rPr>
                <w:rFonts w:ascii="Times New Roman" w:hAnsi="Times New Roman" w:cs="Times New Roman"/>
                <w:szCs w:val="20"/>
                <w:lang w:val="cs-CZ"/>
              </w:rPr>
              <w:t>Pardubicích</w:t>
            </w:r>
            <w:bookmarkStart w:id="0" w:name="_GoBack"/>
            <w:bookmarkEnd w:id="0"/>
            <w:r w:rsidRPr="0018058C">
              <w:rPr>
                <w:rFonts w:ascii="Times New Roman" w:hAnsi="Times New Roman" w:cs="Times New Roman"/>
                <w:szCs w:val="20"/>
                <w:lang w:val="cs-CZ"/>
              </w:rPr>
              <w:t xml:space="preserve"> dne ………………..</w:t>
            </w:r>
          </w:p>
          <w:p w14:paraId="6D06F20F"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E810D2E"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77E36E8E"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376D632F" w14:textId="77777777" w:rsidTr="00DA502E">
        <w:tc>
          <w:tcPr>
            <w:tcW w:w="4531" w:type="dxa"/>
          </w:tcPr>
          <w:p w14:paraId="28E1E0DA"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7C7BE0D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24F52FFF" w14:textId="77777777" w:rsidTr="00DA502E">
        <w:trPr>
          <w:trHeight w:val="1299"/>
        </w:trPr>
        <w:tc>
          <w:tcPr>
            <w:tcW w:w="4531" w:type="dxa"/>
          </w:tcPr>
          <w:p w14:paraId="7A82DC36" w14:textId="77777777" w:rsidR="00354192" w:rsidRPr="006F3D14" w:rsidRDefault="00354192" w:rsidP="00DA502E">
            <w:pPr>
              <w:rPr>
                <w:rFonts w:ascii="Times New Roman" w:hAnsi="Times New Roman" w:cs="Times New Roman"/>
                <w:szCs w:val="20"/>
                <w:lang w:val="cs-CZ"/>
              </w:rPr>
            </w:pPr>
          </w:p>
          <w:p w14:paraId="0946F12B" w14:textId="77777777" w:rsidR="00354192" w:rsidRPr="006F3D14" w:rsidRDefault="00354192" w:rsidP="00DA502E">
            <w:pPr>
              <w:rPr>
                <w:rFonts w:ascii="Times New Roman" w:hAnsi="Times New Roman" w:cs="Times New Roman"/>
                <w:szCs w:val="20"/>
                <w:lang w:val="cs-CZ"/>
              </w:rPr>
            </w:pPr>
          </w:p>
        </w:tc>
        <w:tc>
          <w:tcPr>
            <w:tcW w:w="4531" w:type="dxa"/>
          </w:tcPr>
          <w:p w14:paraId="019EA151" w14:textId="77777777" w:rsidR="00354192" w:rsidRPr="006F3D14" w:rsidRDefault="00354192" w:rsidP="00DA502E">
            <w:pPr>
              <w:rPr>
                <w:rFonts w:ascii="Times New Roman" w:hAnsi="Times New Roman" w:cs="Times New Roman"/>
                <w:szCs w:val="20"/>
                <w:lang w:val="cs-CZ"/>
              </w:rPr>
            </w:pPr>
          </w:p>
          <w:p w14:paraId="3D9F57B9" w14:textId="77777777" w:rsidR="00354192" w:rsidRPr="006F3D14" w:rsidRDefault="00354192" w:rsidP="00DA502E">
            <w:pPr>
              <w:rPr>
                <w:rFonts w:ascii="Times New Roman" w:hAnsi="Times New Roman" w:cs="Times New Roman"/>
                <w:szCs w:val="20"/>
                <w:lang w:val="cs-CZ"/>
              </w:rPr>
            </w:pPr>
          </w:p>
        </w:tc>
      </w:tr>
      <w:tr w:rsidR="00354192" w:rsidRPr="006F3D14" w14:paraId="33D55C2B" w14:textId="77777777" w:rsidTr="00DA502E">
        <w:tc>
          <w:tcPr>
            <w:tcW w:w="4531" w:type="dxa"/>
          </w:tcPr>
          <w:p w14:paraId="6D3F1C21"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29271DAB" w14:textId="77777777" w:rsidR="00354192" w:rsidRPr="006F3D14" w:rsidRDefault="00354192" w:rsidP="00DA502E">
            <w:pPr>
              <w:rPr>
                <w:rFonts w:ascii="Times New Roman" w:hAnsi="Times New Roman" w:cs="Times New Roman"/>
                <w:szCs w:val="20"/>
                <w:lang w:val="cs-CZ"/>
              </w:rPr>
            </w:pPr>
          </w:p>
          <w:p w14:paraId="720C7CCB" w14:textId="77777777" w:rsidR="00380752" w:rsidRPr="006F3D14" w:rsidRDefault="00380752" w:rsidP="00380752">
            <w:pPr>
              <w:rPr>
                <w:rFonts w:ascii="Times New Roman" w:hAnsi="Times New Roman" w:cs="Times New Roman"/>
                <w:szCs w:val="20"/>
              </w:rPr>
            </w:pPr>
            <w:r>
              <w:rPr>
                <w:rFonts w:ascii="Times New Roman" w:hAnsi="Times New Roman" w:cs="Times New Roman"/>
                <w:szCs w:val="20"/>
              </w:rPr>
              <w:t>Ing. Miroslav Kučera,</w:t>
            </w:r>
          </w:p>
          <w:p w14:paraId="7E77891C" w14:textId="77563F91" w:rsidR="00354192" w:rsidRPr="0018058C" w:rsidRDefault="00380752" w:rsidP="00DA502E">
            <w:pPr>
              <w:rPr>
                <w:rFonts w:ascii="Times New Roman" w:hAnsi="Times New Roman" w:cs="Times New Roman"/>
                <w:szCs w:val="20"/>
                <w:lang w:val="cs-CZ"/>
              </w:rPr>
            </w:pPr>
            <w:r>
              <w:rPr>
                <w:rFonts w:ascii="Times New Roman" w:hAnsi="Times New Roman" w:cs="Times New Roman"/>
                <w:szCs w:val="20"/>
              </w:rPr>
              <w:t>ředitel KPÚ pro Pardubický kraj</w:t>
            </w:r>
          </w:p>
        </w:tc>
        <w:tc>
          <w:tcPr>
            <w:tcW w:w="4531" w:type="dxa"/>
          </w:tcPr>
          <w:p w14:paraId="4AD3E923"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3EA3C832" w14:textId="77777777" w:rsidR="00354192" w:rsidRPr="006F3D14" w:rsidRDefault="00354192" w:rsidP="00DA502E">
            <w:pPr>
              <w:rPr>
                <w:rFonts w:ascii="Times New Roman" w:hAnsi="Times New Roman" w:cs="Times New Roman"/>
                <w:szCs w:val="20"/>
                <w:lang w:val="cs-CZ"/>
              </w:rPr>
            </w:pPr>
          </w:p>
          <w:p w14:paraId="2C43EFE5"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4556F3D7" w14:textId="77777777" w:rsidR="00354192" w:rsidRPr="006F3D14" w:rsidRDefault="00354192" w:rsidP="00DA502E">
            <w:pPr>
              <w:rPr>
                <w:rFonts w:ascii="Times New Roman" w:hAnsi="Times New Roman" w:cs="Times New Roman"/>
                <w:szCs w:val="20"/>
                <w:lang w:val="cs-CZ"/>
              </w:rPr>
            </w:pPr>
          </w:p>
        </w:tc>
      </w:tr>
      <w:tr w:rsidR="00FD1B71" w:rsidRPr="006F3D14" w14:paraId="3C1C810C" w14:textId="77777777" w:rsidTr="00DA502E">
        <w:tc>
          <w:tcPr>
            <w:tcW w:w="9062" w:type="dxa"/>
            <w:gridSpan w:val="2"/>
          </w:tcPr>
          <w:p w14:paraId="1B3DA807"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2763D62F" w14:textId="77777777" w:rsidR="00DA502E" w:rsidRPr="006F3D14" w:rsidRDefault="00DA502E" w:rsidP="00FD1B71">
            <w:pPr>
              <w:spacing w:before="240"/>
              <w:rPr>
                <w:rFonts w:ascii="Times New Roman" w:hAnsi="Times New Roman" w:cs="Times New Roman"/>
                <w:szCs w:val="20"/>
                <w:lang w:val="cs-CZ"/>
              </w:rPr>
            </w:pPr>
          </w:p>
        </w:tc>
      </w:tr>
    </w:tbl>
    <w:p w14:paraId="2C8F7723"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878A0" w14:textId="77777777" w:rsidR="00967984" w:rsidRDefault="00967984">
      <w:pPr>
        <w:spacing w:after="0" w:line="240" w:lineRule="auto"/>
      </w:pPr>
      <w:r>
        <w:separator/>
      </w:r>
    </w:p>
  </w:endnote>
  <w:endnote w:type="continuationSeparator" w:id="0">
    <w:p w14:paraId="090812BA"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4B276" w14:textId="77777777" w:rsidR="00D949E7" w:rsidRDefault="00D949E7">
    <w:pPr>
      <w:pStyle w:val="Zpat"/>
      <w:pBdr>
        <w:bottom w:val="single" w:sz="6" w:space="1" w:color="auto"/>
      </w:pBdr>
      <w:jc w:val="right"/>
    </w:pPr>
  </w:p>
  <w:p w14:paraId="437F0560" w14:textId="0D35AA71" w:rsidR="00D949E7" w:rsidRPr="0025120D" w:rsidRDefault="00B3701D">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B3701D">
          <w:rPr>
            <w:noProof/>
            <w:sz w:val="16"/>
            <w:lang w:val="cs-CZ"/>
          </w:rPr>
          <w:t>18</w:t>
        </w:r>
        <w:r w:rsidR="00D949E7" w:rsidRPr="0025120D">
          <w:rPr>
            <w:sz w:val="16"/>
          </w:rPr>
          <w:fldChar w:fldCharType="end"/>
        </w:r>
      </w:sdtContent>
    </w:sdt>
  </w:p>
  <w:p w14:paraId="7AFE09AA"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D2AE1" w14:textId="77777777" w:rsidR="00967984" w:rsidRDefault="00967984">
      <w:pPr>
        <w:spacing w:after="0" w:line="240" w:lineRule="auto"/>
      </w:pPr>
      <w:r>
        <w:separator/>
      </w:r>
    </w:p>
  </w:footnote>
  <w:footnote w:type="continuationSeparator" w:id="0">
    <w:p w14:paraId="6E4A5268"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5620F" w14:textId="734D437E"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B80986">
      <w:rPr>
        <w:sz w:val="16"/>
        <w:lang w:val="cs-CZ"/>
      </w:rPr>
      <w:t>Nepomuky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3E2C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4FAEB67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7C99ECF5" w14:textId="4CA3514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B80986">
      <w:rPr>
        <w:rFonts w:ascii="Times New Roman" w:hAnsi="Times New Roman" w:cs="Times New Roman"/>
        <w:sz w:val="16"/>
      </w:rPr>
      <w:t>Nepomuky</w:t>
    </w:r>
  </w:p>
  <w:p w14:paraId="38246006"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186C"/>
    <w:rsid w:val="00152E9A"/>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14BF0"/>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62F5"/>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0752"/>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07FB7"/>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35C9"/>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3EA2"/>
    <w:rsid w:val="0076450D"/>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7F5149"/>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3701D"/>
    <w:rsid w:val="00B4708C"/>
    <w:rsid w:val="00B476CC"/>
    <w:rsid w:val="00B50A0A"/>
    <w:rsid w:val="00B50D7E"/>
    <w:rsid w:val="00B52699"/>
    <w:rsid w:val="00B67F90"/>
    <w:rsid w:val="00B728CC"/>
    <w:rsid w:val="00B73EC4"/>
    <w:rsid w:val="00B747ED"/>
    <w:rsid w:val="00B80771"/>
    <w:rsid w:val="00B80986"/>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0530"/>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C57BF"/>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B7107"/>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21CA2B"/>
  <w15:docId w15:val="{9128918E-864F-4868-B09B-67EF2016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763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ml@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5297-BCA4-47CE-950B-C27D28FB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8041</Words>
  <Characters>47446</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13</cp:revision>
  <cp:lastPrinted>2016-11-18T08:49:00Z</cp:lastPrinted>
  <dcterms:created xsi:type="dcterms:W3CDTF">2017-01-04T14:58:00Z</dcterms:created>
  <dcterms:modified xsi:type="dcterms:W3CDTF">2017-04-07T06:46:00Z</dcterms:modified>
</cp:coreProperties>
</file>